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36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云南神火铝业有限公司水电铝一体化项目（二期，第</w:t>
      </w:r>
      <w:r>
        <w:rPr>
          <w:rFonts w:hint="eastAsia" w:eastAsia="黑体" w:cs="Times New Roman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批转移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产能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）产能置换方案</w:t>
      </w:r>
    </w:p>
    <w:tbl>
      <w:tblPr>
        <w:tblStyle w:val="3"/>
        <w:tblW w:w="14205" w:type="dxa"/>
        <w:tblInd w:w="-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698"/>
        <w:gridCol w:w="742"/>
        <w:gridCol w:w="548"/>
        <w:gridCol w:w="1245"/>
        <w:gridCol w:w="600"/>
        <w:gridCol w:w="1545"/>
        <w:gridCol w:w="630"/>
        <w:gridCol w:w="1335"/>
        <w:gridCol w:w="1065"/>
        <w:gridCol w:w="750"/>
        <w:gridCol w:w="600"/>
        <w:gridCol w:w="570"/>
        <w:gridCol w:w="810"/>
        <w:gridCol w:w="420"/>
        <w:gridCol w:w="915"/>
        <w:gridCol w:w="12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42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建设项目情况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建设地点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二期项目总产能（万吨）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二期项目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主体设备名称、型号及数量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本方案拟建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主体设备名称、型号及数量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本方案拟建项目核定产能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（万吨）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拟开工时间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拟投产时间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置换比例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实施产能置换方式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云南神火铝业有限公司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云南省文山州富宁县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44.89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KA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328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KA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2019年7月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2020年9月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1:1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企业集团内部产能转移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42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退出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  <w:lang w:eastAsia="zh-CN"/>
              </w:rPr>
              <w:t>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  <w:lang w:eastAsia="zh-CN"/>
              </w:rPr>
              <w:t>区、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</w:rPr>
              <w:t>市)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2"/>
                <w:lang w:eastAsia="zh-CN"/>
              </w:rPr>
              <w:t>关停时间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  <w:lang w:eastAsia="zh-CN"/>
              </w:rPr>
              <w:t>拆除到位时间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河南省沁阳市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沁阳沁澳铝业有限公司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290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>KA×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184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从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2012年3月起限产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ind w:left="420" w:hanging="420" w:hanging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 w:ascii="Times New Roman" w:hAnsi="Times New Roman" w:cs="Times New Roman" w:eastAsia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云南神火铝业有限公司拟建设年产90万吨电解铝项目，分两期建设：一期45.11万吨，二期44.89万吨；</w:t>
      </w:r>
      <w:r>
        <w:rPr>
          <w:rFonts w:hint="default" w:ascii="Times New Roman" w:hAnsi="Times New Roman" w:cs="Times New Roman" w:eastAsia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二期</w:t>
      </w:r>
      <w:r>
        <w:rPr>
          <w:rFonts w:hint="eastAsia" w:cs="Times New Roman" w:eastAsia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项目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2"/>
          <w:lang w:eastAsia="zh-CN"/>
          <w14:textFill>
            <w14:solidFill>
              <w14:schemeClr w14:val="tx1"/>
            </w14:solidFill>
          </w14:textFill>
        </w:rPr>
        <w:t>置换产能分两</w:t>
      </w:r>
      <w:r>
        <w:rPr>
          <w:rFonts w:hint="eastAsia" w:cs="Times New Roman" w:eastAsiaTheme="minorEastAsia"/>
          <w:color w:val="000000" w:themeColor="text1"/>
          <w:kern w:val="0"/>
          <w:sz w:val="22"/>
          <w:lang w:eastAsia="zh-CN"/>
          <w14:textFill>
            <w14:solidFill>
              <w14:schemeClr w14:val="tx1"/>
            </w14:solidFill>
          </w14:textFill>
        </w:rPr>
        <w:t>批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2"/>
          <w:lang w:eastAsia="zh-CN"/>
          <w14:textFill>
            <w14:solidFill>
              <w14:schemeClr w14:val="tx1"/>
            </w14:solidFill>
          </w14:textFill>
        </w:rPr>
        <w:t>转移，本方案落实置换产能</w:t>
      </w:r>
      <w:r>
        <w:rPr>
          <w:rFonts w:hint="eastAsia" w:cs="Times New Roman" w:eastAsiaTheme="minorEastAsia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万吨</w:t>
      </w:r>
      <w:r>
        <w:rPr>
          <w:rFonts w:hint="eastAsia" w:cs="Times New Roman" w:eastAsia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，河南神火集团有限公司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已按照“工信部原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〔2018〕12号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”要求</w:t>
      </w:r>
      <w:r>
        <w:rPr>
          <w:rFonts w:hint="eastAsia" w:cs="Times New Roman" w:eastAsiaTheme="minorEastAsia"/>
          <w:b w:val="0"/>
          <w:bCs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向</w:t>
      </w:r>
      <w:r>
        <w:rPr>
          <w:rFonts w:hint="eastAsia" w:ascii="Times New Roman" w:hAnsi="Times New Roman" w:cs="Times New Roman" w:eastAsiaTheme="minorEastAsia"/>
          <w:b w:val="0"/>
          <w:bCs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退出项目</w:t>
      </w:r>
      <w:r>
        <w:rPr>
          <w:rFonts w:hint="eastAsia" w:cs="Times New Roman" w:eastAsiaTheme="minorEastAsia"/>
          <w:b w:val="0"/>
          <w:bCs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所在地河南省工业和信息化委提交产能退出报告</w:t>
      </w:r>
      <w:r>
        <w:rPr>
          <w:rFonts w:hint="default" w:ascii="Times New Roman" w:hAnsi="Times New Roman" w:cs="Times New Roman" w:eastAsiaTheme="minorEastAsia"/>
          <w:i w:val="0"/>
          <w:color w:val="000000"/>
          <w:sz w:val="21"/>
          <w:szCs w:val="21"/>
          <w:u w:val="none"/>
          <w:lang w:val="en-US" w:eastAsia="zh-CN"/>
        </w:rPr>
        <w:t>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71A61"/>
    <w:rsid w:val="22097E22"/>
    <w:rsid w:val="39B415CE"/>
    <w:rsid w:val="4C0C63E5"/>
    <w:rsid w:val="6FC71A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2018-11-21T01:31:00Z</dcterms:created>
  <dc:creator>lenovo</dc:creator>
  <cp:lastModifiedBy>Administrator</cp:lastModifiedBy>
  <cp:lastPrinted>2018-11-21T02:26:00Z</cp:lastPrinted>
  <dcterms:modified xsi:type="dcterms:W3CDTF">2018-11-21T08:17:55Z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