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925" w:type="dxa"/>
        <w:tblInd w:w="-3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090"/>
        <w:gridCol w:w="2295"/>
        <w:gridCol w:w="3720"/>
        <w:gridCol w:w="2865"/>
        <w:gridCol w:w="285"/>
        <w:gridCol w:w="2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0" w:hRule="atLeast"/>
        </w:trPr>
        <w:tc>
          <w:tcPr>
            <w:tcW w:w="14925" w:type="dxa"/>
            <w:gridSpan w:val="6"/>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pP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附件1</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黑体" w:cs="Times New Roman"/>
                <w:b w:val="0"/>
                <w:bCs w:val="0"/>
                <w:i w:val="0"/>
                <w:caps w:val="0"/>
                <w:color w:val="000000"/>
                <w:spacing w:val="0"/>
                <w:sz w:val="36"/>
                <w:szCs w:val="36"/>
                <w:shd w:val="clear" w:color="auto" w:fill="FFFFFF"/>
                <w:lang w:val="en-US" w:eastAsia="zh-CN"/>
              </w:rPr>
            </w:pPr>
            <w:r>
              <w:rPr>
                <w:rFonts w:hint="default" w:ascii="Times New Roman" w:hAnsi="Times New Roman" w:eastAsia="方正小标宋_GBK" w:cs="Times New Roman"/>
                <w:b w:val="0"/>
                <w:kern w:val="2"/>
                <w:sz w:val="36"/>
                <w:szCs w:val="36"/>
                <w:lang w:val="en-US" w:eastAsia="zh-CN" w:bidi="ar-SA"/>
              </w:rPr>
              <w:t>云南华新东骏水泥有限公司日产4000吨熟料项目搬迁还建</w:t>
            </w:r>
            <w:r>
              <w:rPr>
                <w:rFonts w:hint="default" w:ascii="Times New Roman" w:hAnsi="Times New Roman" w:eastAsia="黑体" w:cs="Times New Roman"/>
                <w:b w:val="0"/>
                <w:bCs w:val="0"/>
                <w:i w:val="0"/>
                <w:caps w:val="0"/>
                <w:color w:val="000000"/>
                <w:spacing w:val="0"/>
                <w:sz w:val="36"/>
                <w:szCs w:val="36"/>
                <w:shd w:val="clear" w:color="auto" w:fill="FFFFFF"/>
                <w:lang w:val="en-US" w:eastAsia="zh-CN"/>
              </w:rPr>
              <w:t>方案</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黑体" w:cs="Times New Roman"/>
                <w:b w:val="0"/>
                <w:bCs w:val="0"/>
                <w:i w:val="0"/>
                <w:caps w:val="0"/>
                <w:color w:val="000000"/>
                <w:spacing w:val="0"/>
                <w:sz w:val="32"/>
                <w:szCs w:val="32"/>
                <w:shd w:val="clear" w:color="auto"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4" w:hRule="atLeast"/>
        </w:trPr>
        <w:tc>
          <w:tcPr>
            <w:tcW w:w="14925"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黑体" w:cs="Times New Roman"/>
                <w:b/>
                <w:i w:val="0"/>
                <w:color w:val="000000"/>
                <w:sz w:val="24"/>
                <w:szCs w:val="24"/>
                <w:u w:val="none"/>
              </w:rPr>
            </w:pPr>
            <w:r>
              <w:rPr>
                <w:rFonts w:hint="default" w:ascii="Times New Roman" w:hAnsi="Times New Roman" w:eastAsia="黑体" w:cs="Times New Roman"/>
                <w:b/>
                <w:i w:val="0"/>
                <w:color w:val="000000"/>
                <w:kern w:val="0"/>
                <w:sz w:val="28"/>
                <w:szCs w:val="28"/>
                <w:u w:val="none"/>
                <w:lang w:val="en-US" w:eastAsia="zh-CN" w:bidi="ar"/>
              </w:rPr>
              <w:t>搬迁还建退出项目情况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9" w:hRule="atLeast"/>
        </w:trPr>
        <w:tc>
          <w:tcPr>
            <w:tcW w:w="30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企业名称（退出项目主体）</w:t>
            </w:r>
          </w:p>
        </w:tc>
        <w:tc>
          <w:tcPr>
            <w:tcW w:w="2295" w:type="dxa"/>
            <w:tcBorders>
              <w:top w:val="single" w:color="000000" w:sz="4" w:space="0"/>
              <w:left w:val="single" w:color="auto" w:sz="4" w:space="0"/>
              <w:bottom w:val="single" w:color="000000" w:sz="4" w:space="0"/>
              <w:right w:val="single" w:color="000000" w:sz="4" w:space="0"/>
            </w:tcBorders>
            <w:vAlign w:val="center"/>
          </w:tcPr>
          <w:p>
            <w:pPr>
              <w:widowControl/>
              <w:ind w:left="34" w:hanging="33" w:hangingChars="14"/>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项目地址</w:t>
            </w:r>
          </w:p>
        </w:tc>
        <w:tc>
          <w:tcPr>
            <w:tcW w:w="3720" w:type="dxa"/>
            <w:tcBorders>
              <w:top w:val="single" w:color="000000" w:sz="4" w:space="0"/>
              <w:left w:val="single" w:color="000000" w:sz="4" w:space="0"/>
              <w:bottom w:val="single" w:color="000000" w:sz="4" w:space="0"/>
              <w:right w:val="single" w:color="000000" w:sz="4" w:space="0"/>
            </w:tcBorders>
            <w:vAlign w:val="center"/>
          </w:tcPr>
          <w:p>
            <w:pPr>
              <w:widowControl/>
              <w:ind w:left="34" w:hanging="33" w:hangingChars="14"/>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统一社会信用代码</w:t>
            </w:r>
          </w:p>
        </w:tc>
        <w:tc>
          <w:tcPr>
            <w:tcW w:w="31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color w:val="000000"/>
                <w:kern w:val="0"/>
                <w:sz w:val="24"/>
                <w:szCs w:val="24"/>
                <w:lang w:eastAsia="zh-CN"/>
              </w:rPr>
              <w:t>备案或核准文件</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ind w:left="34" w:hanging="33" w:hangingChars="14"/>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生产许可证号</w:t>
            </w:r>
            <w:r>
              <w:rPr>
                <w:rFonts w:hint="default" w:ascii="Times New Roman" w:hAnsi="Times New Roman" w:eastAsia="宋体" w:cs="Times New Roman"/>
                <w:color w:val="000000"/>
                <w:kern w:val="0"/>
                <w:sz w:val="24"/>
                <w:szCs w:val="24"/>
                <w:lang w:val="en-US" w:eastAsia="zh-CN"/>
              </w:rPr>
              <w:t xml:space="preserve">        </w:t>
            </w:r>
            <w:r>
              <w:rPr>
                <w:rFonts w:hint="default" w:ascii="Times New Roman" w:hAnsi="Times New Roman" w:eastAsia="宋体" w:cs="Times New Roman"/>
                <w:color w:val="000000"/>
                <w:kern w:val="0"/>
                <w:sz w:val="24"/>
                <w:szCs w:val="24"/>
              </w:rPr>
              <w:t>（有效期）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9" w:hRule="atLeast"/>
        </w:trPr>
        <w:tc>
          <w:tcPr>
            <w:tcW w:w="30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楷体_GB2312" w:cs="Times New Roman"/>
                <w:i w:val="0"/>
                <w:color w:val="000000"/>
                <w:sz w:val="24"/>
                <w:szCs w:val="24"/>
                <w:u w:val="none"/>
                <w:lang w:val="en-US" w:eastAsia="zh-CN"/>
              </w:rPr>
            </w:pPr>
            <w:r>
              <w:rPr>
                <w:rFonts w:hint="default" w:ascii="Times New Roman" w:hAnsi="Times New Roman" w:eastAsia="楷体_GB2312" w:cs="Times New Roman"/>
                <w:i w:val="0"/>
                <w:color w:val="000000"/>
                <w:sz w:val="24"/>
                <w:szCs w:val="24"/>
                <w:u w:val="none"/>
                <w:lang w:val="en-US" w:eastAsia="zh-CN"/>
              </w:rPr>
              <w:t>云南华新东骏水泥有限公司</w:t>
            </w:r>
          </w:p>
        </w:tc>
        <w:tc>
          <w:tcPr>
            <w:tcW w:w="2295" w:type="dxa"/>
            <w:tcBorders>
              <w:top w:val="single" w:color="000000" w:sz="4" w:space="0"/>
              <w:left w:val="single" w:color="auto" w:sz="4" w:space="0"/>
              <w:bottom w:val="single" w:color="000000" w:sz="4" w:space="0"/>
              <w:right w:val="single" w:color="000000" w:sz="4" w:space="0"/>
            </w:tcBorders>
            <w:vAlign w:val="center"/>
          </w:tcPr>
          <w:p>
            <w:pPr>
              <w:jc w:val="center"/>
              <w:rPr>
                <w:rFonts w:hint="default" w:ascii="Times New Roman" w:hAnsi="Times New Roman" w:eastAsia="楷体_GB2312" w:cs="Times New Roman"/>
                <w:i w:val="0"/>
                <w:color w:val="000000"/>
                <w:sz w:val="24"/>
                <w:szCs w:val="24"/>
                <w:u w:val="none"/>
                <w:lang w:eastAsia="zh-CN"/>
              </w:rPr>
            </w:pPr>
            <w:r>
              <w:rPr>
                <w:rFonts w:hint="default" w:ascii="Times New Roman" w:hAnsi="Times New Roman" w:eastAsia="楷体_GB2312" w:cs="Times New Roman"/>
                <w:i w:val="0"/>
                <w:color w:val="000000"/>
                <w:sz w:val="24"/>
                <w:szCs w:val="24"/>
                <w:u w:val="none"/>
                <w:lang w:eastAsia="zh-CN"/>
              </w:rPr>
              <w:t>云南省昆明市官渡区</w:t>
            </w:r>
            <w:r>
              <w:rPr>
                <w:rFonts w:hint="default" w:ascii="Times New Roman" w:hAnsi="Times New Roman" w:eastAsia="楷体_GB2312" w:cs="Times New Roman"/>
                <w:i w:val="0"/>
                <w:color w:val="000000"/>
                <w:sz w:val="24"/>
                <w:szCs w:val="24"/>
                <w:u w:val="none"/>
                <w:lang w:val="en-US" w:eastAsia="zh-CN"/>
              </w:rPr>
              <w:t xml:space="preserve">      </w:t>
            </w:r>
            <w:r>
              <w:rPr>
                <w:rFonts w:hint="default" w:ascii="Times New Roman" w:hAnsi="Times New Roman" w:eastAsia="楷体_GB2312" w:cs="Times New Roman"/>
                <w:i w:val="0"/>
                <w:color w:val="000000"/>
                <w:sz w:val="24"/>
                <w:szCs w:val="24"/>
                <w:u w:val="none"/>
                <w:lang w:eastAsia="zh-CN"/>
              </w:rPr>
              <w:t>大板桥镇康郎村</w:t>
            </w:r>
          </w:p>
        </w:tc>
        <w:tc>
          <w:tcPr>
            <w:tcW w:w="37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楷体_GB2312" w:cs="Times New Roman"/>
                <w:i w:val="0"/>
                <w:color w:val="000000"/>
                <w:sz w:val="24"/>
                <w:szCs w:val="24"/>
                <w:u w:val="none"/>
                <w:lang w:val="en-US" w:eastAsia="zh-CN"/>
              </w:rPr>
            </w:pPr>
            <w:r>
              <w:rPr>
                <w:rFonts w:hint="default" w:ascii="Times New Roman" w:hAnsi="Times New Roman" w:eastAsia="楷体_GB2312" w:cs="Times New Roman"/>
                <w:i w:val="0"/>
                <w:color w:val="000000"/>
                <w:sz w:val="24"/>
                <w:szCs w:val="24"/>
                <w:u w:val="none"/>
                <w:lang w:val="en-US" w:eastAsia="zh-CN"/>
              </w:rPr>
              <w:t>91530000719414036F</w:t>
            </w:r>
          </w:p>
        </w:tc>
        <w:tc>
          <w:tcPr>
            <w:tcW w:w="315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楷体_GB2312" w:cs="Times New Roman"/>
                <w:i w:val="0"/>
                <w:color w:val="000000"/>
                <w:sz w:val="24"/>
                <w:szCs w:val="24"/>
                <w:u w:val="none"/>
                <w:lang w:val="en-US" w:eastAsia="zh-CN"/>
              </w:rPr>
            </w:pPr>
            <w:r>
              <w:rPr>
                <w:rFonts w:hint="default" w:ascii="Times New Roman" w:hAnsi="Times New Roman" w:eastAsia="楷体_GB2312" w:cs="Times New Roman"/>
                <w:i w:val="0"/>
                <w:color w:val="000000"/>
                <w:sz w:val="24"/>
                <w:szCs w:val="24"/>
                <w:u w:val="none"/>
                <w:lang w:eastAsia="zh-CN"/>
              </w:rPr>
              <w:t>《云南省经贸委云南省建设厅关于云南东骏水泥有限公司日产</w:t>
            </w:r>
            <w:r>
              <w:rPr>
                <w:rFonts w:hint="default" w:ascii="Times New Roman" w:hAnsi="Times New Roman" w:eastAsia="楷体_GB2312" w:cs="Times New Roman"/>
                <w:i w:val="0"/>
                <w:color w:val="000000"/>
                <w:sz w:val="24"/>
                <w:szCs w:val="24"/>
                <w:u w:val="none"/>
                <w:lang w:val="en-US" w:eastAsia="zh-CN"/>
              </w:rPr>
              <w:t>4000吨熟料水泥生产线技改项目初步设计的批复</w:t>
            </w:r>
            <w:r>
              <w:rPr>
                <w:rFonts w:hint="default" w:ascii="Times New Roman" w:hAnsi="Times New Roman" w:eastAsia="楷体_GB2312" w:cs="Times New Roman"/>
                <w:i w:val="0"/>
                <w:color w:val="000000"/>
                <w:sz w:val="24"/>
                <w:szCs w:val="24"/>
                <w:u w:val="none"/>
                <w:lang w:eastAsia="zh-CN"/>
              </w:rPr>
              <w:t>》云经贸投资〔</w:t>
            </w:r>
            <w:r>
              <w:rPr>
                <w:rFonts w:hint="default" w:ascii="Times New Roman" w:hAnsi="Times New Roman" w:eastAsia="楷体_GB2312" w:cs="Times New Roman"/>
                <w:i w:val="0"/>
                <w:color w:val="000000"/>
                <w:sz w:val="24"/>
                <w:szCs w:val="24"/>
                <w:u w:val="none"/>
                <w:lang w:val="en-US" w:eastAsia="zh-CN"/>
              </w:rPr>
              <w:t>2002</w:t>
            </w:r>
            <w:r>
              <w:rPr>
                <w:rFonts w:hint="default" w:ascii="Times New Roman" w:hAnsi="Times New Roman" w:eastAsia="楷体_GB2312" w:cs="Times New Roman"/>
                <w:i w:val="0"/>
                <w:color w:val="000000"/>
                <w:sz w:val="24"/>
                <w:szCs w:val="24"/>
                <w:u w:val="none"/>
                <w:lang w:eastAsia="zh-CN"/>
              </w:rPr>
              <w:t>〕</w:t>
            </w:r>
            <w:r>
              <w:rPr>
                <w:rFonts w:hint="default" w:ascii="Times New Roman" w:hAnsi="Times New Roman" w:eastAsia="楷体_GB2312" w:cs="Times New Roman"/>
                <w:i w:val="0"/>
                <w:color w:val="000000"/>
                <w:sz w:val="24"/>
                <w:szCs w:val="24"/>
                <w:u w:val="none"/>
                <w:lang w:val="en-US" w:eastAsia="zh-CN"/>
              </w:rPr>
              <w:t>309号</w:t>
            </w:r>
          </w:p>
        </w:tc>
        <w:tc>
          <w:tcPr>
            <w:tcW w:w="26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楷体_GB2312" w:cs="Times New Roman"/>
                <w:i w:val="0"/>
                <w:color w:val="000000"/>
                <w:sz w:val="24"/>
                <w:szCs w:val="24"/>
                <w:u w:val="none"/>
                <w:lang w:val="en-US" w:eastAsia="zh-CN"/>
              </w:rPr>
            </w:pPr>
            <w:r>
              <w:rPr>
                <w:rFonts w:hint="default" w:ascii="Times New Roman" w:hAnsi="Times New Roman" w:eastAsia="楷体_GB2312" w:cs="Times New Roman"/>
                <w:i w:val="0"/>
                <w:color w:val="000000"/>
                <w:sz w:val="24"/>
                <w:szCs w:val="24"/>
                <w:u w:val="none"/>
                <w:lang w:val="en-US" w:eastAsia="zh-CN"/>
              </w:rPr>
              <w:t>XK08-001-05589      （2023年1月2日）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9" w:hRule="atLeast"/>
        </w:trPr>
        <w:tc>
          <w:tcPr>
            <w:tcW w:w="3090" w:type="dxa"/>
            <w:tcBorders>
              <w:top w:val="single" w:color="auto" w:sz="4" w:space="0"/>
              <w:left w:val="single" w:color="auto" w:sz="4" w:space="0"/>
              <w:bottom w:val="single" w:color="auto" w:sz="4" w:space="0"/>
              <w:right w:val="single" w:color="auto" w:sz="4" w:space="0"/>
            </w:tcBorders>
            <w:vAlign w:val="center"/>
          </w:tcPr>
          <w:p>
            <w:pPr>
              <w:widowControl/>
              <w:ind w:left="34" w:hanging="33" w:hangingChars="14"/>
              <w:jc w:val="center"/>
              <w:rPr>
                <w:rFonts w:hint="default" w:ascii="Times New Roman" w:hAnsi="Times New Roman" w:eastAsia="宋体" w:cs="Times New Roman"/>
                <w:color w:val="000000"/>
                <w:kern w:val="0"/>
                <w:sz w:val="24"/>
                <w:szCs w:val="24"/>
                <w:lang w:eastAsia="zh-CN"/>
              </w:rPr>
            </w:pPr>
            <w:r>
              <w:rPr>
                <w:rFonts w:hint="default" w:ascii="Times New Roman" w:hAnsi="Times New Roman" w:eastAsia="宋体" w:cs="Times New Roman"/>
                <w:color w:val="000000"/>
                <w:kern w:val="0"/>
                <w:sz w:val="24"/>
                <w:szCs w:val="24"/>
                <w:lang w:val="en-US" w:eastAsia="zh-CN"/>
              </w:rPr>
              <w:t>主体设备（生产线）名称、   规格型号及数量</w:t>
            </w:r>
          </w:p>
        </w:tc>
        <w:tc>
          <w:tcPr>
            <w:tcW w:w="2295" w:type="dxa"/>
            <w:tcBorders>
              <w:top w:val="single" w:color="000000" w:sz="4" w:space="0"/>
              <w:left w:val="single" w:color="auto" w:sz="4" w:space="0"/>
              <w:bottom w:val="single" w:color="000000" w:sz="4" w:space="0"/>
              <w:right w:val="single" w:color="000000" w:sz="4" w:space="0"/>
            </w:tcBorders>
            <w:vAlign w:val="center"/>
          </w:tcPr>
          <w:p>
            <w:pPr>
              <w:widowControl/>
              <w:ind w:left="34" w:hanging="33" w:hangingChars="14"/>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实际产能（</w:t>
            </w:r>
            <w:r>
              <w:rPr>
                <w:rFonts w:hint="default" w:ascii="Times New Roman" w:hAnsi="Times New Roman" w:eastAsia="宋体" w:cs="Times New Roman"/>
                <w:i w:val="0"/>
                <w:color w:val="000000"/>
                <w:kern w:val="0"/>
                <w:sz w:val="24"/>
                <w:szCs w:val="24"/>
                <w:highlight w:val="none"/>
                <w:u w:val="none"/>
                <w:lang w:val="en-US" w:eastAsia="zh-CN" w:bidi="ar"/>
              </w:rPr>
              <w:t>t/d</w:t>
            </w:r>
            <w:r>
              <w:rPr>
                <w:rFonts w:hint="default" w:ascii="Times New Roman" w:hAnsi="Times New Roman" w:eastAsia="宋体" w:cs="Times New Roman"/>
                <w:color w:val="000000"/>
                <w:kern w:val="0"/>
                <w:sz w:val="24"/>
                <w:szCs w:val="24"/>
                <w:lang w:val="en-US" w:eastAsia="zh-CN"/>
              </w:rPr>
              <w:t>）</w:t>
            </w:r>
          </w:p>
        </w:tc>
        <w:tc>
          <w:tcPr>
            <w:tcW w:w="3720" w:type="dxa"/>
            <w:tcBorders>
              <w:top w:val="single" w:color="000000" w:sz="4" w:space="0"/>
              <w:left w:val="single" w:color="000000" w:sz="4" w:space="0"/>
              <w:bottom w:val="single" w:color="000000" w:sz="4" w:space="0"/>
              <w:right w:val="single" w:color="000000" w:sz="4" w:space="0"/>
            </w:tcBorders>
            <w:vAlign w:val="center"/>
          </w:tcPr>
          <w:p>
            <w:pPr>
              <w:widowControl/>
              <w:ind w:left="34" w:hanging="33" w:hangingChars="14"/>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eastAsia="zh-CN"/>
              </w:rPr>
              <w:t>备案或核准文件</w:t>
            </w:r>
            <w:r>
              <w:rPr>
                <w:rFonts w:hint="default" w:ascii="Times New Roman" w:hAnsi="Times New Roman" w:eastAsia="宋体" w:cs="Times New Roman"/>
                <w:color w:val="000000"/>
                <w:kern w:val="0"/>
                <w:sz w:val="24"/>
                <w:szCs w:val="24"/>
                <w:lang w:val="en-US" w:eastAsia="zh-CN"/>
              </w:rPr>
              <w:t>设计产能（</w:t>
            </w:r>
            <w:r>
              <w:rPr>
                <w:rFonts w:hint="default" w:ascii="Times New Roman" w:hAnsi="Times New Roman" w:eastAsia="宋体" w:cs="Times New Roman"/>
                <w:i w:val="0"/>
                <w:color w:val="000000"/>
                <w:kern w:val="0"/>
                <w:sz w:val="24"/>
                <w:szCs w:val="24"/>
                <w:highlight w:val="none"/>
                <w:u w:val="none"/>
                <w:lang w:val="en-US" w:eastAsia="zh-CN" w:bidi="ar"/>
              </w:rPr>
              <w:t>t/d</w:t>
            </w:r>
            <w:r>
              <w:rPr>
                <w:rFonts w:hint="default" w:ascii="Times New Roman" w:hAnsi="Times New Roman" w:eastAsia="宋体" w:cs="Times New Roman"/>
                <w:color w:val="000000"/>
                <w:kern w:val="0"/>
                <w:sz w:val="24"/>
                <w:szCs w:val="24"/>
                <w:lang w:val="en-US" w:eastAsia="zh-CN"/>
              </w:rPr>
              <w:t>）</w:t>
            </w:r>
          </w:p>
        </w:tc>
        <w:tc>
          <w:tcPr>
            <w:tcW w:w="3150" w:type="dxa"/>
            <w:gridSpan w:val="2"/>
            <w:tcBorders>
              <w:top w:val="single" w:color="000000" w:sz="4" w:space="0"/>
              <w:left w:val="single" w:color="000000" w:sz="4" w:space="0"/>
              <w:bottom w:val="single" w:color="000000" w:sz="4" w:space="0"/>
              <w:right w:val="single" w:color="000000" w:sz="4" w:space="0"/>
            </w:tcBorders>
            <w:vAlign w:val="center"/>
          </w:tcPr>
          <w:p>
            <w:pPr>
              <w:widowControl/>
              <w:ind w:left="34" w:hanging="33" w:hangingChars="14"/>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搬迁还建核定产能（</w:t>
            </w:r>
            <w:r>
              <w:rPr>
                <w:rFonts w:hint="default" w:ascii="Times New Roman" w:hAnsi="Times New Roman" w:eastAsia="宋体" w:cs="Times New Roman"/>
                <w:i w:val="0"/>
                <w:color w:val="000000"/>
                <w:kern w:val="0"/>
                <w:sz w:val="24"/>
                <w:szCs w:val="24"/>
                <w:highlight w:val="none"/>
                <w:u w:val="none"/>
                <w:lang w:val="en-US" w:eastAsia="zh-CN" w:bidi="ar"/>
              </w:rPr>
              <w:t>t/d</w:t>
            </w:r>
            <w:r>
              <w:rPr>
                <w:rFonts w:hint="default" w:ascii="Times New Roman" w:hAnsi="Times New Roman" w:eastAsia="宋体" w:cs="Times New Roman"/>
                <w:color w:val="000000"/>
                <w:kern w:val="0"/>
                <w:sz w:val="24"/>
                <w:szCs w:val="24"/>
                <w:lang w:val="en-US" w:eastAsia="zh-CN"/>
              </w:rPr>
              <w:t>）</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ind w:left="34" w:hanging="33" w:hangingChars="14"/>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规划调整相关文件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5" w:hRule="atLeast"/>
        </w:trPr>
        <w:tc>
          <w:tcPr>
            <w:tcW w:w="30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楷体_GB2312" w:cs="Times New Roman"/>
                <w:i w:val="0"/>
                <w:color w:val="000000"/>
                <w:kern w:val="0"/>
                <w:sz w:val="24"/>
                <w:szCs w:val="24"/>
                <w:u w:val="none"/>
                <w:lang w:val="en-US" w:eastAsia="zh-CN" w:bidi="ar"/>
              </w:rPr>
            </w:pPr>
            <w:r>
              <w:rPr>
                <w:rFonts w:hint="default" w:ascii="Times New Roman" w:hAnsi="Times New Roman" w:eastAsia="楷体_GB2312" w:cs="Times New Roman"/>
                <w:bCs/>
                <w:kern w:val="0"/>
                <w:sz w:val="24"/>
                <w:szCs w:val="24"/>
                <w:lang w:val="en-US" w:eastAsia="zh-CN"/>
              </w:rPr>
              <w:t>1</w:t>
            </w:r>
            <w:r>
              <w:rPr>
                <w:rFonts w:hint="default" w:ascii="Times New Roman" w:hAnsi="Times New Roman" w:eastAsia="楷体_GB2312" w:cs="Times New Roman"/>
                <w:bCs/>
                <w:kern w:val="0"/>
                <w:sz w:val="24"/>
                <w:szCs w:val="24"/>
              </w:rPr>
              <w:t>×Φ</w:t>
            </w:r>
            <w:r>
              <w:rPr>
                <w:rFonts w:hint="default" w:ascii="Times New Roman" w:hAnsi="Times New Roman" w:eastAsia="楷体_GB2312" w:cs="Times New Roman"/>
                <w:bCs/>
                <w:kern w:val="0"/>
                <w:sz w:val="24"/>
                <w:szCs w:val="24"/>
                <w:lang w:val="en-US" w:eastAsia="zh-CN"/>
              </w:rPr>
              <w:t>4.8</w:t>
            </w:r>
            <w:r>
              <w:rPr>
                <w:rFonts w:hint="default" w:ascii="Times New Roman" w:hAnsi="Times New Roman" w:eastAsia="楷体_GB2312" w:cs="Times New Roman"/>
                <w:bCs/>
                <w:kern w:val="0"/>
                <w:sz w:val="24"/>
                <w:szCs w:val="24"/>
              </w:rPr>
              <w:t>×</w:t>
            </w:r>
            <w:r>
              <w:rPr>
                <w:rFonts w:hint="default" w:ascii="Times New Roman" w:hAnsi="Times New Roman" w:eastAsia="楷体_GB2312" w:cs="Times New Roman"/>
                <w:bCs/>
                <w:kern w:val="0"/>
                <w:sz w:val="24"/>
                <w:szCs w:val="24"/>
                <w:lang w:val="en-US" w:eastAsia="zh-CN"/>
              </w:rPr>
              <w:t>74</w:t>
            </w:r>
            <w:r>
              <w:rPr>
                <w:rFonts w:hint="default" w:ascii="Times New Roman" w:hAnsi="Times New Roman" w:eastAsia="楷体_GB2312" w:cs="Times New Roman"/>
                <w:bCs/>
                <w:kern w:val="0"/>
                <w:sz w:val="24"/>
                <w:szCs w:val="24"/>
              </w:rPr>
              <w:t>m回转窑</w:t>
            </w:r>
          </w:p>
        </w:tc>
        <w:tc>
          <w:tcPr>
            <w:tcW w:w="229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楷体_GB2312" w:cs="Times New Roman"/>
                <w:i w:val="0"/>
                <w:color w:val="000000"/>
                <w:kern w:val="0"/>
                <w:sz w:val="24"/>
                <w:szCs w:val="24"/>
                <w:highlight w:val="none"/>
                <w:u w:val="none"/>
                <w:lang w:val="en-US" w:eastAsia="zh-CN" w:bidi="ar"/>
              </w:rPr>
            </w:pPr>
            <w:r>
              <w:rPr>
                <w:rFonts w:hint="default" w:ascii="Times New Roman" w:hAnsi="Times New Roman" w:eastAsia="楷体_GB2312" w:cs="Times New Roman"/>
                <w:i w:val="0"/>
                <w:color w:val="000000"/>
                <w:kern w:val="0"/>
                <w:sz w:val="24"/>
                <w:szCs w:val="24"/>
                <w:highlight w:val="none"/>
                <w:u w:val="none"/>
                <w:lang w:val="en-US" w:eastAsia="zh-CN" w:bidi="ar"/>
              </w:rPr>
              <w:t>5000</w:t>
            </w:r>
          </w:p>
        </w:tc>
        <w:tc>
          <w:tcPr>
            <w:tcW w:w="3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楷体_GB2312" w:cs="Times New Roman"/>
                <w:i w:val="0"/>
                <w:color w:val="000000"/>
                <w:sz w:val="24"/>
                <w:szCs w:val="24"/>
                <w:u w:val="none"/>
                <w:lang w:val="en-US" w:eastAsia="zh-CN"/>
              </w:rPr>
            </w:pPr>
            <w:r>
              <w:rPr>
                <w:rFonts w:hint="default" w:ascii="Times New Roman" w:hAnsi="Times New Roman" w:eastAsia="楷体_GB2312" w:cs="Times New Roman"/>
                <w:i w:val="0"/>
                <w:color w:val="000000"/>
                <w:sz w:val="24"/>
                <w:szCs w:val="24"/>
                <w:u w:val="none"/>
                <w:lang w:val="en-US" w:eastAsia="zh-CN"/>
              </w:rPr>
              <w:t>4000</w:t>
            </w:r>
          </w:p>
        </w:tc>
        <w:tc>
          <w:tcPr>
            <w:tcW w:w="31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楷体_GB2312" w:cs="Times New Roman"/>
                <w:i w:val="0"/>
                <w:color w:val="000000"/>
                <w:sz w:val="24"/>
                <w:szCs w:val="24"/>
                <w:highlight w:val="none"/>
                <w:u w:val="none"/>
                <w:lang w:val="en-US" w:eastAsia="zh-CN"/>
              </w:rPr>
            </w:pPr>
            <w:r>
              <w:rPr>
                <w:rFonts w:hint="default" w:ascii="Times New Roman" w:hAnsi="Times New Roman" w:eastAsia="楷体_GB2312" w:cs="Times New Roman"/>
                <w:i w:val="0"/>
                <w:color w:val="000000"/>
                <w:sz w:val="24"/>
                <w:szCs w:val="24"/>
                <w:highlight w:val="none"/>
                <w:u w:val="none"/>
                <w:lang w:val="en-US" w:eastAsia="zh-CN"/>
              </w:rPr>
              <w:t>4000</w:t>
            </w:r>
          </w:p>
        </w:tc>
        <w:tc>
          <w:tcPr>
            <w:tcW w:w="2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楷体_GB2312" w:cs="Times New Roman"/>
                <w:i w:val="0"/>
                <w:color w:val="000000"/>
                <w:sz w:val="24"/>
                <w:szCs w:val="24"/>
                <w:highlight w:val="none"/>
                <w:u w:val="none"/>
                <w:lang w:val="en-US" w:eastAsia="zh-CN"/>
              </w:rPr>
            </w:pPr>
            <w:r>
              <w:rPr>
                <w:rFonts w:hint="default" w:ascii="Times New Roman" w:hAnsi="Times New Roman" w:eastAsia="楷体_GB2312" w:cs="Times New Roman"/>
                <w:i w:val="0"/>
                <w:color w:val="000000"/>
                <w:sz w:val="24"/>
                <w:szCs w:val="24"/>
                <w:highlight w:val="none"/>
                <w:u w:val="none"/>
                <w:lang w:val="en-US" w:eastAsia="zh-CN"/>
              </w:rPr>
              <w:t>《民航局关于昆明长水国际机场总体规划的批复》（民航函〔2019〕777号）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9" w:hRule="atLeast"/>
        </w:trPr>
        <w:tc>
          <w:tcPr>
            <w:tcW w:w="3090" w:type="dxa"/>
            <w:tcBorders>
              <w:top w:val="single" w:color="auto" w:sz="4" w:space="0"/>
              <w:left w:val="single" w:color="auto" w:sz="4" w:space="0"/>
              <w:bottom w:val="single" w:color="auto" w:sz="4" w:space="0"/>
              <w:right w:val="single" w:color="auto" w:sz="4" w:space="0"/>
            </w:tcBorders>
            <w:vAlign w:val="center"/>
          </w:tcPr>
          <w:p>
            <w:pPr>
              <w:widowControl/>
              <w:ind w:left="34" w:hanging="33" w:hangingChars="14"/>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是否享受</w:t>
            </w:r>
            <w:r>
              <w:rPr>
                <w:rFonts w:hint="default" w:ascii="Times New Roman" w:hAnsi="Times New Roman" w:eastAsia="宋体" w:cs="Times New Roman"/>
                <w:b w:val="0"/>
                <w:i w:val="0"/>
                <w:caps w:val="0"/>
                <w:color w:val="070707"/>
                <w:spacing w:val="0"/>
                <w:sz w:val="24"/>
                <w:szCs w:val="24"/>
              </w:rPr>
              <w:t>退出产能资金奖补和政策支持</w:t>
            </w:r>
          </w:p>
        </w:tc>
        <w:tc>
          <w:tcPr>
            <w:tcW w:w="2295" w:type="dxa"/>
            <w:tcBorders>
              <w:top w:val="single" w:color="000000" w:sz="4" w:space="0"/>
              <w:left w:val="single" w:color="auto" w:sz="4" w:space="0"/>
              <w:bottom w:val="single" w:color="000000" w:sz="4" w:space="0"/>
              <w:right w:val="single" w:color="000000" w:sz="4" w:space="0"/>
            </w:tcBorders>
            <w:vAlign w:val="center"/>
          </w:tcPr>
          <w:p>
            <w:pPr>
              <w:widowControl/>
              <w:ind w:left="34" w:hanging="33" w:hangingChars="14"/>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产能指标是否重复</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eastAsia="宋体" w:cs="Times New Roman"/>
                <w:color w:val="000000"/>
                <w:kern w:val="0"/>
                <w:sz w:val="24"/>
                <w:szCs w:val="24"/>
                <w:lang w:val="en-US" w:eastAsia="zh-CN"/>
              </w:rPr>
              <w:t>使用</w:t>
            </w:r>
          </w:p>
        </w:tc>
        <w:tc>
          <w:tcPr>
            <w:tcW w:w="3720" w:type="dxa"/>
            <w:tcBorders>
              <w:top w:val="single" w:color="000000" w:sz="4" w:space="0"/>
              <w:left w:val="single" w:color="000000" w:sz="4" w:space="0"/>
              <w:bottom w:val="single" w:color="000000" w:sz="4" w:space="0"/>
              <w:right w:val="single" w:color="000000" w:sz="4" w:space="0"/>
            </w:tcBorders>
            <w:vAlign w:val="center"/>
          </w:tcPr>
          <w:p>
            <w:pPr>
              <w:widowControl/>
              <w:ind w:left="33" w:leftChars="0" w:hanging="33" w:hangingChars="14"/>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关停时间</w:t>
            </w:r>
          </w:p>
        </w:tc>
        <w:tc>
          <w:tcPr>
            <w:tcW w:w="5820" w:type="dxa"/>
            <w:gridSpan w:val="3"/>
            <w:tcBorders>
              <w:top w:val="single" w:color="000000" w:sz="4" w:space="0"/>
              <w:left w:val="single" w:color="000000" w:sz="4" w:space="0"/>
              <w:bottom w:val="single" w:color="000000" w:sz="4" w:space="0"/>
              <w:right w:val="single" w:color="000000" w:sz="4" w:space="0"/>
            </w:tcBorders>
            <w:vAlign w:val="center"/>
          </w:tcPr>
          <w:p>
            <w:pPr>
              <w:widowControl/>
              <w:ind w:left="33" w:leftChars="0" w:hanging="33" w:hangingChars="14"/>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拆除到位时间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18" w:hRule="atLeast"/>
        </w:trPr>
        <w:tc>
          <w:tcPr>
            <w:tcW w:w="3090" w:type="dxa"/>
            <w:tcBorders>
              <w:top w:val="single" w:color="auto" w:sz="4" w:space="0"/>
              <w:left w:val="single" w:color="auto" w:sz="4" w:space="0"/>
              <w:bottom w:val="single" w:color="auto" w:sz="4" w:space="0"/>
              <w:right w:val="single" w:color="auto" w:sz="4" w:space="0"/>
            </w:tcBorders>
            <w:vAlign w:val="center"/>
          </w:tcPr>
          <w:p>
            <w:pPr>
              <w:widowControl/>
              <w:ind w:left="34" w:hanging="33" w:hangingChars="14"/>
              <w:jc w:val="center"/>
              <w:rPr>
                <w:rFonts w:hint="default" w:ascii="Times New Roman" w:hAnsi="Times New Roman" w:eastAsia="楷体" w:cs="Times New Roman"/>
                <w:color w:val="000000"/>
                <w:kern w:val="0"/>
                <w:sz w:val="24"/>
                <w:szCs w:val="24"/>
                <w:lang w:val="en-US" w:eastAsia="zh-CN"/>
              </w:rPr>
            </w:pPr>
            <w:r>
              <w:rPr>
                <w:rFonts w:hint="default" w:ascii="Times New Roman" w:hAnsi="Times New Roman" w:eastAsia="楷体" w:cs="Times New Roman"/>
                <w:color w:val="000000"/>
                <w:kern w:val="0"/>
                <w:sz w:val="24"/>
                <w:szCs w:val="24"/>
                <w:lang w:val="en-US" w:eastAsia="zh-CN"/>
              </w:rPr>
              <w:t>方案公示之日前未享受。方案公示之日后也不得享受退出产能资金奖补和政策支持。</w:t>
            </w:r>
          </w:p>
        </w:tc>
        <w:tc>
          <w:tcPr>
            <w:tcW w:w="2295" w:type="dxa"/>
            <w:tcBorders>
              <w:top w:val="single" w:color="000000" w:sz="4" w:space="0"/>
              <w:left w:val="single" w:color="auto" w:sz="4" w:space="0"/>
              <w:bottom w:val="single" w:color="000000" w:sz="4" w:space="0"/>
              <w:right w:val="single" w:color="000000" w:sz="4" w:space="0"/>
            </w:tcBorders>
            <w:vAlign w:val="center"/>
          </w:tcPr>
          <w:p>
            <w:pPr>
              <w:widowControl/>
              <w:ind w:left="34" w:hanging="33" w:hangingChars="14"/>
              <w:jc w:val="center"/>
              <w:rPr>
                <w:rFonts w:hint="default" w:ascii="Times New Roman" w:hAnsi="Times New Roman" w:eastAsia="楷体" w:cs="Times New Roman"/>
                <w:color w:val="000000"/>
                <w:kern w:val="0"/>
                <w:sz w:val="24"/>
                <w:szCs w:val="24"/>
                <w:lang w:val="en-US" w:eastAsia="zh-CN"/>
              </w:rPr>
            </w:pPr>
            <w:r>
              <w:rPr>
                <w:rFonts w:hint="default" w:ascii="Times New Roman" w:hAnsi="Times New Roman" w:eastAsia="楷体" w:cs="Times New Roman"/>
                <w:color w:val="000000"/>
                <w:kern w:val="0"/>
                <w:sz w:val="24"/>
                <w:szCs w:val="24"/>
                <w:lang w:val="en-US" w:eastAsia="zh-CN"/>
              </w:rPr>
              <w:t>否</w:t>
            </w:r>
          </w:p>
        </w:tc>
        <w:tc>
          <w:tcPr>
            <w:tcW w:w="3720"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Times New Roman" w:hAnsi="Times New Roman" w:eastAsia="楷体" w:cs="Times New Roman"/>
                <w:i w:val="0"/>
                <w:color w:val="000000"/>
                <w:sz w:val="24"/>
                <w:szCs w:val="24"/>
                <w:highlight w:val="none"/>
                <w:u w:val="none"/>
                <w:lang w:val="en-US" w:eastAsia="zh-CN"/>
              </w:rPr>
            </w:pPr>
            <w:r>
              <w:rPr>
                <w:rFonts w:hint="default" w:ascii="Times New Roman" w:hAnsi="Times New Roman" w:eastAsia="楷体" w:cs="Times New Roman"/>
                <w:i w:val="0"/>
                <w:color w:val="000000"/>
                <w:sz w:val="24"/>
                <w:szCs w:val="24"/>
                <w:highlight w:val="none"/>
                <w:u w:val="none"/>
                <w:lang w:val="en-US" w:eastAsia="zh-CN"/>
              </w:rPr>
              <w:t>搬迁还建项目投产前关停。若因昆明长水国际机场改扩建需要，则根据昆明长水国际机场改扩建项目要求的时限提前关停。</w:t>
            </w:r>
          </w:p>
        </w:tc>
        <w:tc>
          <w:tcPr>
            <w:tcW w:w="58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楷体" w:cs="Times New Roman"/>
                <w:i w:val="0"/>
                <w:color w:val="000000"/>
                <w:sz w:val="24"/>
                <w:szCs w:val="24"/>
                <w:highlight w:val="none"/>
                <w:u w:val="none"/>
                <w:lang w:val="en-US" w:eastAsia="zh-CN"/>
              </w:rPr>
            </w:pPr>
            <w:r>
              <w:rPr>
                <w:rFonts w:hint="default" w:ascii="Times New Roman" w:hAnsi="Times New Roman" w:eastAsia="楷体" w:cs="Times New Roman"/>
                <w:i w:val="0"/>
                <w:color w:val="000000"/>
                <w:sz w:val="24"/>
                <w:szCs w:val="24"/>
                <w:highlight w:val="none"/>
                <w:u w:val="none"/>
                <w:lang w:val="en-US" w:eastAsia="zh-CN"/>
              </w:rPr>
              <w:t xml:space="preserve">搬迁还建项目投产一年内拆除到位。若因昆明长水国际机场改扩建需要，则根据昆明长水国际机场改扩建项目要求的时限提前拆除。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9" w:hRule="atLeast"/>
        </w:trPr>
        <w:tc>
          <w:tcPr>
            <w:tcW w:w="14925"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Style w:val="6"/>
                <w:rFonts w:hint="default" w:ascii="Times New Roman" w:hAnsi="Times New Roman" w:cs="Times New Roman"/>
                <w:sz w:val="28"/>
                <w:szCs w:val="28"/>
                <w:lang w:val="en-US" w:eastAsia="zh-CN" w:bidi="ar"/>
              </w:rPr>
              <w:t xml:space="preserve">搬迁还建建设项目情况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9" w:hRule="atLeast"/>
        </w:trPr>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left="33" w:leftChars="0" w:hanging="33" w:hangingChars="14"/>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企业名称（建设项目主体）</w:t>
            </w:r>
          </w:p>
        </w:tc>
        <w:tc>
          <w:tcPr>
            <w:tcW w:w="2295" w:type="dxa"/>
            <w:tcBorders>
              <w:top w:val="single" w:color="000000" w:sz="4" w:space="0"/>
              <w:left w:val="single" w:color="000000" w:sz="4" w:space="0"/>
              <w:bottom w:val="single" w:color="000000" w:sz="4" w:space="0"/>
              <w:right w:val="single" w:color="000000" w:sz="4" w:space="0"/>
            </w:tcBorders>
            <w:vAlign w:val="center"/>
          </w:tcPr>
          <w:p>
            <w:pPr>
              <w:widowControl/>
              <w:ind w:left="33" w:leftChars="0" w:hanging="33" w:hangingChars="14"/>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拟</w:t>
            </w:r>
            <w:r>
              <w:rPr>
                <w:rFonts w:hint="default" w:ascii="Times New Roman" w:hAnsi="Times New Roman" w:eastAsia="宋体" w:cs="Times New Roman"/>
                <w:color w:val="000000"/>
                <w:kern w:val="0"/>
                <w:sz w:val="24"/>
                <w:szCs w:val="24"/>
                <w:lang w:val="en-US" w:eastAsia="zh-CN"/>
              </w:rPr>
              <w:t>建设地点</w:t>
            </w:r>
          </w:p>
        </w:tc>
        <w:tc>
          <w:tcPr>
            <w:tcW w:w="3720" w:type="dxa"/>
            <w:tcBorders>
              <w:top w:val="single" w:color="000000" w:sz="4" w:space="0"/>
              <w:left w:val="single" w:color="000000" w:sz="4" w:space="0"/>
              <w:bottom w:val="single" w:color="000000" w:sz="4" w:space="0"/>
              <w:right w:val="single" w:color="000000" w:sz="4" w:space="0"/>
            </w:tcBorders>
            <w:vAlign w:val="center"/>
          </w:tcPr>
          <w:p>
            <w:pPr>
              <w:widowControl/>
              <w:ind w:left="33" w:leftChars="0" w:hanging="33" w:hangingChars="14"/>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rPr>
              <w:t>拟建主体设备（生产线）名称、规格型号及数量</w:t>
            </w:r>
          </w:p>
        </w:tc>
        <w:tc>
          <w:tcPr>
            <w:tcW w:w="5820" w:type="dxa"/>
            <w:gridSpan w:val="3"/>
            <w:tcBorders>
              <w:top w:val="single" w:color="000000" w:sz="4" w:space="0"/>
              <w:left w:val="single" w:color="000000" w:sz="4" w:space="0"/>
              <w:bottom w:val="single" w:color="000000" w:sz="4" w:space="0"/>
              <w:right w:val="single" w:color="000000" w:sz="4" w:space="0"/>
            </w:tcBorders>
            <w:vAlign w:val="center"/>
          </w:tcPr>
          <w:p>
            <w:pPr>
              <w:widowControl/>
              <w:ind w:left="33" w:leftChars="0" w:hanging="33" w:hangingChars="14"/>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产能（</w:t>
            </w:r>
            <w:r>
              <w:rPr>
                <w:rFonts w:hint="default" w:ascii="Times New Roman" w:hAnsi="Times New Roman" w:eastAsia="宋体" w:cs="Times New Roman"/>
                <w:i w:val="0"/>
                <w:color w:val="000000"/>
                <w:kern w:val="0"/>
                <w:sz w:val="24"/>
                <w:szCs w:val="24"/>
                <w:highlight w:val="none"/>
                <w:u w:val="none"/>
                <w:lang w:val="en-US" w:eastAsia="zh-CN" w:bidi="ar"/>
              </w:rPr>
              <w:t>t/d</w:t>
            </w:r>
            <w:r>
              <w:rPr>
                <w:rFonts w:hint="default" w:ascii="Times New Roman" w:hAnsi="Times New Roman" w:eastAsia="宋体" w:cs="Times New Roman"/>
                <w:color w:val="000000"/>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0" w:hRule="atLeast"/>
        </w:trPr>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left="33" w:leftChars="0" w:hanging="33" w:hangingChars="14"/>
              <w:jc w:val="center"/>
              <w:rPr>
                <w:rFonts w:hint="default" w:ascii="Times New Roman" w:hAnsi="Times New Roman" w:eastAsia="楷体_GB2312" w:cs="Times New Roman"/>
                <w:color w:val="000000"/>
                <w:kern w:val="0"/>
                <w:sz w:val="24"/>
                <w:szCs w:val="24"/>
                <w:lang w:val="en-US" w:eastAsia="zh-CN"/>
              </w:rPr>
            </w:pPr>
            <w:r>
              <w:rPr>
                <w:rFonts w:hint="default" w:ascii="Times New Roman" w:hAnsi="Times New Roman" w:eastAsia="楷体_GB2312" w:cs="Times New Roman"/>
                <w:color w:val="000000"/>
                <w:kern w:val="0"/>
                <w:sz w:val="24"/>
                <w:szCs w:val="24"/>
                <w:lang w:val="en-US" w:eastAsia="zh-CN"/>
              </w:rPr>
              <w:t>华新水泥（嵩明）有限公司</w:t>
            </w:r>
          </w:p>
        </w:tc>
        <w:tc>
          <w:tcPr>
            <w:tcW w:w="2295" w:type="dxa"/>
            <w:tcBorders>
              <w:top w:val="single" w:color="000000" w:sz="4" w:space="0"/>
              <w:left w:val="single" w:color="000000" w:sz="4" w:space="0"/>
              <w:bottom w:val="single" w:color="000000" w:sz="4" w:space="0"/>
              <w:right w:val="single" w:color="000000" w:sz="4" w:space="0"/>
            </w:tcBorders>
            <w:vAlign w:val="center"/>
          </w:tcPr>
          <w:p>
            <w:pPr>
              <w:widowControl/>
              <w:ind w:left="33" w:leftChars="0" w:hanging="33" w:hangingChars="14"/>
              <w:jc w:val="center"/>
              <w:rPr>
                <w:rFonts w:hint="default" w:ascii="Times New Roman" w:hAnsi="Times New Roman" w:eastAsia="楷体_GB2312" w:cs="Times New Roman"/>
                <w:color w:val="000000"/>
                <w:kern w:val="0"/>
                <w:sz w:val="24"/>
                <w:szCs w:val="24"/>
                <w:lang w:val="en-US" w:eastAsia="zh-CN"/>
              </w:rPr>
            </w:pPr>
            <w:r>
              <w:rPr>
                <w:rFonts w:hint="default" w:ascii="Times New Roman" w:hAnsi="Times New Roman" w:eastAsia="楷体_GB2312" w:cs="Times New Roman"/>
                <w:color w:val="000000"/>
                <w:kern w:val="0"/>
                <w:sz w:val="24"/>
                <w:szCs w:val="24"/>
                <w:lang w:val="en-US" w:eastAsia="zh-CN"/>
              </w:rPr>
              <w:t xml:space="preserve">云南省昆明市嵩明县  </w:t>
            </w:r>
          </w:p>
        </w:tc>
        <w:tc>
          <w:tcPr>
            <w:tcW w:w="3720" w:type="dxa"/>
            <w:tcBorders>
              <w:top w:val="single" w:color="000000" w:sz="4" w:space="0"/>
              <w:left w:val="single" w:color="000000" w:sz="4" w:space="0"/>
              <w:bottom w:val="single" w:color="000000" w:sz="4" w:space="0"/>
              <w:right w:val="single" w:color="000000" w:sz="4" w:space="0"/>
            </w:tcBorders>
            <w:vAlign w:val="center"/>
          </w:tcPr>
          <w:p>
            <w:pPr>
              <w:widowControl/>
              <w:ind w:left="29" w:leftChars="0" w:hanging="29" w:hangingChars="14"/>
              <w:jc w:val="center"/>
              <w:rPr>
                <w:rFonts w:hint="default" w:ascii="Times New Roman" w:hAnsi="Times New Roman" w:eastAsia="楷体_GB2312" w:cs="Times New Roman"/>
                <w:color w:val="000000"/>
                <w:kern w:val="0"/>
                <w:sz w:val="24"/>
                <w:szCs w:val="24"/>
                <w:lang w:val="en-US" w:eastAsia="zh-CN"/>
              </w:rPr>
            </w:pPr>
            <w:r>
              <w:rPr>
                <w:rFonts w:hint="default" w:ascii="Times New Roman" w:hAnsi="Times New Roman" w:eastAsia="楷体_GB2312" w:cs="Times New Roman"/>
                <w:bCs/>
                <w:kern w:val="0"/>
                <w:sz w:val="21"/>
                <w:szCs w:val="21"/>
                <w:lang w:val="en-US" w:eastAsia="zh-CN"/>
              </w:rPr>
              <w:t>1</w:t>
            </w:r>
            <w:r>
              <w:rPr>
                <w:rFonts w:hint="default" w:ascii="Times New Roman" w:hAnsi="Times New Roman" w:eastAsia="楷体_GB2312" w:cs="Times New Roman"/>
                <w:bCs/>
                <w:kern w:val="0"/>
                <w:sz w:val="21"/>
                <w:szCs w:val="21"/>
              </w:rPr>
              <w:t>×Φ</w:t>
            </w:r>
            <w:r>
              <w:rPr>
                <w:rFonts w:hint="default" w:ascii="Times New Roman" w:hAnsi="Times New Roman" w:eastAsia="楷体_GB2312" w:cs="Times New Roman"/>
                <w:bCs/>
                <w:kern w:val="0"/>
                <w:sz w:val="21"/>
                <w:szCs w:val="21"/>
                <w:lang w:val="en-US" w:eastAsia="zh-CN"/>
              </w:rPr>
              <w:t>4.6</w:t>
            </w:r>
            <w:r>
              <w:rPr>
                <w:rFonts w:hint="default" w:ascii="Times New Roman" w:hAnsi="Times New Roman" w:eastAsia="楷体_GB2312" w:cs="Times New Roman"/>
                <w:bCs/>
                <w:kern w:val="0"/>
                <w:sz w:val="21"/>
                <w:szCs w:val="21"/>
              </w:rPr>
              <w:t>×</w:t>
            </w:r>
            <w:r>
              <w:rPr>
                <w:rFonts w:hint="default" w:ascii="Times New Roman" w:hAnsi="Times New Roman" w:eastAsia="楷体_GB2312" w:cs="Times New Roman"/>
                <w:bCs/>
                <w:kern w:val="0"/>
                <w:sz w:val="21"/>
                <w:szCs w:val="21"/>
                <w:lang w:val="en-US" w:eastAsia="zh-CN"/>
              </w:rPr>
              <w:t>72</w:t>
            </w:r>
            <w:r>
              <w:rPr>
                <w:rFonts w:hint="default" w:ascii="Times New Roman" w:hAnsi="Times New Roman" w:eastAsia="楷体_GB2312" w:cs="Times New Roman"/>
                <w:bCs/>
                <w:kern w:val="0"/>
                <w:sz w:val="21"/>
                <w:szCs w:val="21"/>
              </w:rPr>
              <w:t>m回转窑</w:t>
            </w:r>
          </w:p>
        </w:tc>
        <w:tc>
          <w:tcPr>
            <w:tcW w:w="5820" w:type="dxa"/>
            <w:gridSpan w:val="3"/>
            <w:tcBorders>
              <w:top w:val="single" w:color="000000" w:sz="4" w:space="0"/>
              <w:left w:val="single" w:color="000000" w:sz="4" w:space="0"/>
              <w:bottom w:val="single" w:color="000000" w:sz="4" w:space="0"/>
              <w:right w:val="single" w:color="000000" w:sz="4" w:space="0"/>
            </w:tcBorders>
            <w:vAlign w:val="center"/>
          </w:tcPr>
          <w:p>
            <w:pPr>
              <w:widowControl/>
              <w:ind w:left="33" w:leftChars="0" w:hanging="33" w:hangingChars="14"/>
              <w:jc w:val="center"/>
              <w:rPr>
                <w:rFonts w:hint="default" w:ascii="Times New Roman" w:hAnsi="Times New Roman" w:eastAsia="楷体_GB2312" w:cs="Times New Roman"/>
                <w:color w:val="000000"/>
                <w:kern w:val="0"/>
                <w:sz w:val="24"/>
                <w:szCs w:val="24"/>
                <w:lang w:val="en-US" w:eastAsia="zh-CN"/>
              </w:rPr>
            </w:pPr>
            <w:r>
              <w:rPr>
                <w:rFonts w:hint="default" w:ascii="Times New Roman" w:hAnsi="Times New Roman" w:eastAsia="楷体_GB2312" w:cs="Times New Roman"/>
                <w:color w:val="000000"/>
                <w:kern w:val="0"/>
                <w:sz w:val="24"/>
                <w:szCs w:val="24"/>
                <w:lang w:val="en-US" w:eastAsia="zh-CN"/>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910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楷体" w:cs="Times New Roman"/>
                <w:i w:val="0"/>
                <w:color w:val="000000"/>
                <w:sz w:val="24"/>
                <w:szCs w:val="24"/>
                <w:u w:val="none"/>
                <w:lang w:val="en-US" w:eastAsia="zh-CN"/>
              </w:rPr>
            </w:pPr>
            <w:r>
              <w:rPr>
                <w:rFonts w:hint="default" w:ascii="Times New Roman" w:hAnsi="Times New Roman" w:eastAsia="宋体" w:cs="Times New Roman"/>
                <w:color w:val="000000"/>
                <w:kern w:val="0"/>
                <w:sz w:val="24"/>
                <w:szCs w:val="24"/>
                <w:lang w:val="en-US" w:eastAsia="zh-CN"/>
              </w:rPr>
              <w:t>项目实施治污减排和节能降耗技术改造情况</w:t>
            </w:r>
          </w:p>
        </w:tc>
        <w:tc>
          <w:tcPr>
            <w:tcW w:w="2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计划开工时间</w:t>
            </w:r>
          </w:p>
        </w:tc>
        <w:tc>
          <w:tcPr>
            <w:tcW w:w="295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计划投产时间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trPr>
        <w:tc>
          <w:tcPr>
            <w:tcW w:w="910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default" w:ascii="Times New Roman" w:hAnsi="Times New Roman" w:eastAsia="楷体" w:cs="Times New Roman"/>
                <w:i w:val="0"/>
                <w:color w:val="000000"/>
                <w:sz w:val="22"/>
                <w:szCs w:val="22"/>
                <w:u w:val="none"/>
                <w:lang w:val="en-US" w:eastAsia="zh-CN"/>
              </w:rPr>
            </w:pPr>
            <w:r>
              <w:rPr>
                <w:rFonts w:hint="default" w:ascii="Times New Roman" w:hAnsi="Times New Roman" w:eastAsia="楷体" w:cs="Times New Roman"/>
                <w:i w:val="0"/>
                <w:color w:val="000000"/>
                <w:sz w:val="22"/>
                <w:szCs w:val="22"/>
                <w:u w:val="none"/>
                <w:lang w:val="en-US" w:eastAsia="zh-CN"/>
              </w:rPr>
              <w:t>配套建设9MW余热发电装置，年发电量4100×104kwh，全场供电自给率30%，年节约标煤5578吨，减少二氧化碳排放14385吨。窑头除尘采用国际先进水平袋式除尘，采用密闭设备和密闭式的储库，含尘气体经高效除尘设备净化后有组织排放，采用设置压力、压差、温度和粉尘泄露监测仪、在线监测装置和先进的自动化控制系统，粉尘排放优于欧标和国标。项目采用国际先进的循环水处理系统，水循环使用率达100%，生产环节产生的废水实现零排放。</w:t>
            </w:r>
          </w:p>
        </w:tc>
        <w:tc>
          <w:tcPr>
            <w:tcW w:w="2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楷体" w:cs="Times New Roman"/>
                <w:i w:val="0"/>
                <w:color w:val="000000"/>
                <w:sz w:val="22"/>
                <w:szCs w:val="22"/>
                <w:u w:val="none"/>
                <w:lang w:val="en-US" w:eastAsia="zh-CN"/>
              </w:rPr>
            </w:pPr>
            <w:r>
              <w:rPr>
                <w:rFonts w:hint="default" w:ascii="Times New Roman" w:hAnsi="Times New Roman" w:eastAsia="楷体" w:cs="Times New Roman"/>
                <w:i w:val="0"/>
                <w:color w:val="000000"/>
                <w:sz w:val="22"/>
                <w:szCs w:val="22"/>
                <w:u w:val="none"/>
                <w:lang w:val="en-US" w:eastAsia="zh-CN"/>
              </w:rPr>
              <w:t>2020年5月</w:t>
            </w:r>
          </w:p>
        </w:tc>
        <w:tc>
          <w:tcPr>
            <w:tcW w:w="295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楷体" w:cs="Times New Roman"/>
                <w:i w:val="0"/>
                <w:color w:val="000000"/>
                <w:sz w:val="22"/>
                <w:szCs w:val="22"/>
                <w:u w:val="none"/>
                <w:lang w:val="en-US" w:eastAsia="zh-CN"/>
              </w:rPr>
            </w:pPr>
            <w:r>
              <w:rPr>
                <w:rFonts w:hint="default" w:ascii="Times New Roman" w:hAnsi="Times New Roman" w:eastAsia="楷体" w:cs="Times New Roman"/>
                <w:i w:val="0"/>
                <w:color w:val="000000"/>
                <w:sz w:val="22"/>
                <w:szCs w:val="22"/>
                <w:u w:val="none"/>
                <w:lang w:val="en-US" w:eastAsia="zh-CN"/>
              </w:rPr>
              <w:t>2025年3月（具体投产时间根据项目建设情况及昆明长水国际机场改扩建项目进度确定）</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59529E"/>
    <w:rsid w:val="1859529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rPr>
  </w:style>
  <w:style w:type="character" w:customStyle="1" w:styleId="6">
    <w:name w:val="font31"/>
    <w:basedOn w:val="4"/>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云南省工业和信息化委员会</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2020-04-24T09:32:00Z</dcterms:created>
  <dc:creator>Administrator</dc:creator>
  <cp:lastModifiedBy>Administrator</cp:lastModifiedBy>
  <dcterms:modified xsi:type="dcterms:W3CDTF">2020-04-24T09:37:12Z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